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69 vom 5. November 2024</w:t>
      </w:r>
    </w:p>
    <w:p>
      <w:r>
        <w:t>VS Kantonsgericht, 2024-11-05, FR</w:t>
      </w:r>
    </w:p>
    <w:p>
      <w:r>
        <w:rPr>
          <w:b/>
        </w:rPr>
        <w:t xml:space="preserve">Quelle: </w:t>
      </w:r>
      <w:r>
        <w:t>https://mcp.opencaselaw.ch/entscheid/vs_gerichte_S1 23 69</w:t>
      </w:r>
    </w:p>
    <w:p>
      <w:r>
        <w:t>FR: VS_GERICHTE S1 23 69 du 5 novembre 2024</w:t>
      </w:r>
    </w:p>
    <w:p>
      <w:r>
        <w:t>IT: VS_GERICHTE S1 23 69 del 5 novembre 2024</w:t>
      </w:r>
    </w:p>
    <w:p>
      <w:pPr>
        <w:pStyle w:val="Heading2"/>
      </w:pPr>
      <w:r>
        <w:t>Regeste</w:t>
      </w:r>
    </w:p>
    <w:p>
      <w:r>
        <w:t>S1 23 69 ARRET DU 5 NOVEMBRE 2024 Tribunal cantonal du Valais Cour des assurances sociales Composition : Candido Prada, président ; Jean-Bernard Fournier et Christophe Joris, juges ; Anaïs Mottiez, greffière en la cause X _________, recourant contre SERVICE DE L'INDUSTRIE, DU COMMERCE ET DU TRAVAIL (SICT), intimé (art. 16 et 30 al. 1 let. d LACI ; assurance-chômage ; suspension pour refus de travail convenable)</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 chômage obligatoire et à l’indemnité en cas d’insolvabilité, à moins que la LACI ne déroge expressément à la LPGA. Posté le 10 mai 2023 (date du cachet postal), le présent recours à l’encontre de la décision sur opposition du 3 avril précédent a été interjeté dans le délai légal de trente jours prolongé des féries de Pâques (art. 38 al. 4 et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2.1</w:t>
      </w:r>
    </w:p>
    <w:p>
      <w:r>
        <w:t>Le litige porte sur le bien-fondé de la suspension du droit du recourant à l’indemnité de chômage pour une durée de 31 jours, au motif qu’il avait refusé un travail convenable.</w:t>
      </w:r>
    </w:p>
    <w:p>
      <w:r>
        <w:rPr>
          <w:b/>
        </w:rPr>
        <w:t>E. 2.2</w:t>
      </w:r>
    </w:p>
    <w:p>
      <w:r>
        <w:t>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(ATF 125 V 51 consid. 6a).</w:t>
      </w:r>
    </w:p>
    <w:p>
      <w:r>
        <w:rPr>
          <w:b/>
        </w:rPr>
        <w:t>E. 2.3</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w:t>
      </w:r>
    </w:p>
    <w:p>
      <w:r>
        <w:t>- 6 - exerçait précédemment. Il doit pouvoir apporter la preuve des efforts qu’il a fournis. De plus, il doit garantir qu’il peut être atteint par l’office compétent dans le délai d’un jour ouvré (art. 21 al. 3 OACI). L’assuré est notamment tenu d'accepter immédiatement tout travail convenable qui lui est proposé, en vue de diminuer le dommage (art. 16 al. 1 et 17 al. 3 première phrase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du Tribunal fédéral des assurances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 Le simple fait que la proposition d’emploi ne correspond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 11 mai 2009 consid. 4.1 et la référence citée). Lors de négociations avec le futur employeur, l’assuré doit ainsi non seulement manifester clairement et sans équivoque qu’il est disposé à conclure un contrat (ATF 122 V 34 consid. 3b), mais également s’efforcer de mener sérieusement les pourparlers contractuels (arrêt du Tribunal fédéral 8C_337/2008 du 1er juillet 2008 consid. 3.3.2). Entrent également en considération dans l’analyse du comportement de la personne assurée, son apparence, son attitude et les propos qu’elle tient pendant l’entretien d’embauche, ainsi que les dossiers de candidature malhonnêtes (arrêt du Tribunal fédéral 8C_339/2016 du 29 juin 2016 consid. 4.2). La jurisprudence décrit ainsi d’une manière très large le comportement réprouvé entrant dans le cadre d’un refus de travail convenable (arrêt du Tribunal fédéral 8C_468/2020 du 27 octobre 2020 consid. 5.2 et les références).</w:t>
      </w:r>
    </w:p>
    <w:p>
      <w:r>
        <w:rPr>
          <w:b/>
        </w:rPr>
        <w:t>E. 2.4</w:t>
      </w:r>
    </w:p>
    <w:p>
      <w:r>
        <w:t>En vertu de l'article 30 alinéa 1 lettre d LACI, le droit de l'assuré à l’indemnité est suspendu lorsqu'il n'observe pas les prescriptions de contrôle du chômage ou les instructions de l'autorité compétente, notamment lorsqu’il refuse un travail convenable. Une telle mesure constitue une manière appropriée et adéquate de faire participer</w:t>
      </w:r>
    </w:p>
    <w:p>
      <w:r>
        <w:t>- 7 - l'assuré au dommage qu'il cause à l'assurance-chômage en raison d'une attitude contraire à ses obligations (arrêt du Tribunal fédéral des assurances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du 21 février 2002 consid. 4). Selon l'article 30 alinéa 3 LACI, la durée de la suspension est proportionnelle à la gravité de la faute. En vertu de l'article 45 alinéa 2 OACI, elle est de 1 à 15 jours en cas de faute légère, de 16 à 30 jours en cas de faute de gravité moyenne et de 31 à 60 jours en cas de faute grave.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et 130 V 125 ; arrêt du Tribunal fédéral 8C_225/2011 du 9 mars 2012 consid. 4.2). Constituent de telles circonstances le type d'activité proposée, la durée de l'activité, lorsqu'il est certain qu'elle sera courte (ATF 130 V 125 consid. 3.5 ; DTA 2000 p. 45), le salaire offert, l'horaire de travail (arrêt du Tribunal fédéral des assurances C 311/01 du 9 juillet 2002), la situation personnelle de l'assuré, notion englobant notamment d'éventuels problèmes de santé, la situation familiale, l'appartenance religieuse (arrêt du Tribunal fédéral 8C_38/2012 du 10 avril 2012 consid. 3.3). En revanche, n'en constituent pas de faibles chances d'obtenir le poste assigné (arrêt du Tribunal fédéral des assurances C 143/04 du 22 octobre 2004), le fait que l'inscription au chômage soit récente, l'imprécision de la description du poste assigné (arrêt du Tribunal fédéral des assurances C 57/06 du 5 avril 2007), le fait que l'assuré a tardé à présenter ses services (arrêt du Tribunal fédéral 8C_285/2011 du 22 août 2011) ou encore le fait que l'emploi a été proposé par une agence intérimaire (arrêt du Tribunal fédéral des assurances C 311/01 du 9 juillet 2002). Les motifs justifiant de s’écarter de la faute grave doivent être admis restrictivement (RUBIN, Commentaire de la loi sur l’assurance-chômage, 2014, n. 117 et 118 ad art. 30 LACI ; arrêts du Tribunal fédéral 8C_756/2020 du 3 août 2021 consid. 3.2.1 et 8C_108/2008 du 3 décembre 2008).</w:t>
      </w:r>
    </w:p>
    <w:p>
      <w:r>
        <w:t>- 8 - En tant qu'autorité de surveillance, le Secrétariat d’Etat à l’économie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(ATF 141 V 365 consid. 2.4 ; arrêt du Tribunal fédéral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du Tribunal fédéral 8C_406/2020 du 28 avril 2021 consid. 4.3, 8C_601/2012 du 26 février 2013 consid. 4.1 et les références, non publié in ATF 139 V 164). Elles pourront le cas échéant aller en dessous du minimum prévu par le barème indicatif (arrêts du Tribunal fédéral 8C_2/2012 du 14 juin 2012 consid. 3.2 et 8C_64/2012 du 26 juin 2012 consid. 3.2).</w:t>
      </w:r>
    </w:p>
    <w:p>
      <w:r>
        <w:rPr>
          <w:b/>
        </w:rPr>
        <w:t>E. 2.5</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- 9 -</w:t>
      </w:r>
    </w:p>
    <w:p>
      <w:r>
        <w:rPr>
          <w:b/>
        </w:rPr>
        <w:t>E. 2.6</w:t>
      </w:r>
    </w:p>
    <w:p>
      <w:r>
        <w:t>Bien que la procédure en matière d’assurances sociales soit régie par la maxime inquisitoire (art. 61 let. c LPGA), il n’en demeure pas moins que les parties ont un devoir de collaborer, lequel comprend l'obligation d'apporter, dans la mesure où cela est raisonnablement exigible, les preuves commandées par la nature du litige et des faits invoqués (ATF 138 V 86 consid. 5.2.3 et 125 V 193 consid. 2). Si le principe inquisitoire dispense les parties de l'obligation de prouver, il ne les libère pas pour autant du fardeau de la preuve, dans la mesure où, en cas d'absence de preuve, c'est à la partie qui voulait en déduire un droit d'en supporter les conséquences, sauf si l'impossibilité de prouver un fait peut être imputée à la partie adverse (ATF 145 V 90 consid. 6.3 ; 139 V 176 consid. 5.2 et 117 V 261 consid. 3b).</w:t>
      </w:r>
    </w:p>
    <w:p>
      <w:r>
        <w:rPr>
          <w:b/>
        </w:rPr>
        <w:t>E. 2.7</w:t>
      </w:r>
    </w:p>
    <w:p>
      <w:r>
        <w:t>Dans le cas d’espèce, le recourant a indiqué à l’ORP, le 21 avril 2022, qu’il avait mis fin à la mission en qualité de manœuvre auprès de la société H _________ SA pour laquelle il avait été engagé la veille par l’agence de placement G _________ SA, car l’environnement de travail était trop bruyant et manquait de sécurité, en l’absence notamment de gants et de lunettes de protection (cf. pièces 107 et 109).</w:t>
      </w:r>
    </w:p>
    <w:p>
      <w:r>
        <w:rPr>
          <w:b/>
        </w:rPr>
        <w:t>E. 2.7.1</w:t>
      </w:r>
    </w:p>
    <w:p>
      <w:r>
        <w:t>Il est premièrement relevé, contrairement à ce que soutient le recourant, que l’emploi qui lui a été proposé par G _________ SA au sein de la société H _________ SA était convenable au sens de l’article 16 LACI. S’il est vrai que l’intéressé disposait uniquement d’une expérience professionnelle en tant que logisticien (3 ans d’apprentissage et 4 ans comme employé du groupe A _________ SA), la Cour rappelle toutefois que l’assuré qui fait valoir des prestations d’assurance doit entreprendre tout ce qu’on peut raisonnablement exiger de lui pour éviter le chômage ou l’abréger, au besoin en cherchant du travail en dehors de la profession qu’il exerçait précédemment (cf. supra consid. 2.3). Par conséquent, dès lors que l’intéressé était inscrit au chômage depuis 13 mois, sans avoir réalisé de gain intermédiaire, lorsqu’il a contacté G _________ SA en date du 20 avril 2022, il lui incombait d’accepter un poste de travail même différent de sa profession de logisticien. Le recourant ne conteste d’ailleurs pas cette incombance, puisqu’il a indiqué dans sa prise de position du 22 avril 2022 qu’il était ouvert à toute proposition de la part de G _________ SA. De plus, le simple fait que l’emploi de manœuvre auprès de H _________ SA était une mission temporaire d’une durée de trois mois ne saurait permettre de nier le caractère convenable de cet emploi, ce d’autant plus que cette société a indiqué à l’agence de placement G _________ SA qu’en principe, tous les emplois temporaires se transformaient en emploi à l’année si les relations de travail se passaient bien.</w:t>
      </w:r>
    </w:p>
    <w:p>
      <w:r>
        <w:t>- 10 - Enfin, le caractère convenable de l’emploi de manœuvre proposé par G _________ SA ne saurait non plus pas être nié au motif que ce poste ne conviendrait pas à l’état de santé de l’assuré (art. 16 al. 2 let. c LACI). En effet, s’il est vrai que le Dr I _________ a indiqué que son patient présentait des migraines ainsi qu’une maladie de Crohn et que celui-ci ne pouvait pas travailler dans les conditions prévalant chez H _________ SA, force est de constater que les rapports des 3 juin 2022 et 23 juin 2023 de ce praticien ont été établis postérieurement à la décision du 31 mai 2022, se fondent uniquement sur les dires de l’intéressé, ne contiennent pas d’anamnèse détaillée et n’ont pas fait l’objet d’une étude fouillée, de sorte qu’ils ne remplissent pas les réquisits jurisprudentiels pour se voir reconnaître une pleine valeur probante (cf. supra consid. 2.5). L’on ne voit au demeurant pas quel autre motif excluant le caractère convenable de cet emploi serait rempli dans le cas d’espèce (art. 16 al. 2 LACI).</w:t>
      </w:r>
    </w:p>
    <w:p>
      <w:r>
        <w:rPr>
          <w:b/>
        </w:rPr>
        <w:t>E. 2.7.2</w:t>
      </w:r>
    </w:p>
    <w:p>
      <w:r>
        <w:t>Force est ensuite de constater que le recourant ne disposait d’aucun motif valable pour refuser le travail qui lui était proposé par G _________ SA au sein de H _________ SA. En effet, si le recourant allègue que les conditions de travail prévalant chez H _________ SA n’étaient pas satisfaisantes (environnement bruyant, absence de gants et de lunettes de protection, responsable ne parlant pas français), au point que son médecin traitant aurait déposé un signalement auprès de la médecine du travail de la CNA, force est de constater qu’il n’apporte aucune preuve de ses dires, alors même qu’il lui aurait été loisible de produire certaines pièces justificatives, par exemple une copie de la lettre de dénonciation rédigée par son médecin traitant. Or, il a été rappelé ci- dessus (cf. supra consid. 2.6) qu’en cas d'absence de preuve, c'est à la partie qui voulait en déduire un droit d'en supporter les conséquences. La Cour relève en outre qu’il ressort du dossier que le SICT a pris contact en avril 2023 avec la médecine du travail de la CNA, qui a affirmé qu’aucun signalement n’avait été effectué à l’encontre de H _________ SA et qu’aucun dossier concernant cette société n’était ouvert. Il est au surplus relevé que le recourant a quitté son poste de manœuvre après seulement une journée, ne laissant ainsi aucune possibilité à l’entreprise de lui proposer des solutions (p. ex. bouchons d’oreilles pour diminuer le bruit). A cet égard, contrairement à ce que prétend l’intéressé, la Cour retient que cette activité de manœuvre débutée le 20 avril 2022 était bien un poste de travail et non une simple journée d’essai. En effet, non seulement le contrat de travail (mission) signé le jour même (cf. pièce 109) est limpide et ne permet pas de suivre l’argumentation du recourant, mais il appert également que ce dernier a indiqué dans sa réplique du 10 juillet 2023 avoir proposé à l’employeur ses</w:t>
      </w:r>
    </w:p>
    <w:p>
      <w:r>
        <w:t>- 11 - services pour deux jours supplémentaires correspondant au délai contractuel de congé, reconnaissant ainsi qu’il s’agissait bien d’une relation de travail et non d’une journée à l’essai. Enfin, s’il est vrai que ledit contrat de travail mentionne une durée de travail de trois mois, ce fait ne constitue pas un motif valable pour refuser l’emploi proposé. En effet, la Cour rappelle qu’interpellée par le SICT, l’agence de placement G _________ SA a expliqué qu’il était courant que les contrats de missions soient prévus pour trois mois, mais que la mission aboutissait en principe toujours, si les trois mois se passaient bien, à un emploi à l’année, notamment avec l’entreprise H _________ SA. Dans ces conditions, c'est à bon droit que l’intimé a considéré que les éléments constitutifs d'un refus de travail convenable étaient réunis en l'espèce (art. 30 al. 1 let. d LACI).</w:t>
      </w:r>
    </w:p>
    <w:p>
      <w:r>
        <w:rPr>
          <w:b/>
        </w:rPr>
        <w:t>E. 2.7.3</w:t>
      </w:r>
    </w:p>
    <w:p>
      <w:r>
        <w:t>Concernant la quotité de la suspension, évaluée à 31 jours, celle-ci a été fixée au minimum de la fourchette prévue en cas de faute grave conformément à l’article 45 alinéa 4 lettre b OACI. Cette solution n’apparaît pas critiquable, compte tenu du comportement du recourant qui a délibérément quitté un emploi convenable (mission temporaire de manœuvre auprès de H _________ SA) pouvant aboutir à un contrat de travail de durée indéterminée. Par ailleurs, on ne voit pas quel motif valable au sens de l’article 45 alinéa 4 lettre b OACI, susceptible de laisser la faute de l’intéressé apparaître comme étant de gravité moyenne ou légère, pourrait être invoqué in casu. Il est à cet égard précisé que, dans la mesure où les motifs justifiant de s’écarter de la faute grave doivent être admis restrictivement (cf. supra consid. 2.4) et qu’il a été établi ci-dessus que les rapports des 3 juin 2022 et 23 juin 2023 du Dr I _________ ne remplissaient pas les réquisits jurisprudentiels pour se voir reconnaître une pleine valeur probante (cf. supra consid. 2.7.1), les problèmes de santé relevés par le recourant ne sauraient constituer un tel motif.</w:t>
      </w:r>
    </w:p>
    <w:p>
      <w:r>
        <w:rPr>
          <w:b/>
        </w:rPr>
        <w:t>E. 2.7.4</w:t>
      </w:r>
    </w:p>
    <w:p>
      <w:r>
        <w:t>Au vu des éléments qui précèdent, le recours se révèle mal fondé et doit être rejeté. La sanction de 31 jours de suspension de l’indemnité de chômage prononcée dans la décision sur opposition du 3 avril 2023 est par conséquent confirmée. Pour les mêmes motifs, il n’y a pas lieu à l’allocation d’une indemnité pour tort moral, cette prétention n’étant au demeurant pas du ressort du Tribunal de céans (art. 19 ss LRCPA ; RS/VS 170.1).</w:t>
      </w:r>
    </w:p>
    <w:p>
      <w:r>
        <w:rPr>
          <w:b/>
        </w:rPr>
        <w:t>E. 3</w:t>
      </w:r>
    </w:p>
    <w:p>
      <w:r>
        <w:t>- 12 - Il n’est pas perçu de frais (art. 61 let. fbis LPGA), la loi spéciale, en l’occurrence la LACI, ne prévoyant pas le prélèvement de frais de justice, ni alloué de dépens (art. 61 let. g a contrario LPGA et 91 al. 3 LPJA).</w:t>
      </w:r>
    </w:p>
    <w:p>
      <w:r>
        <w:t>Prononce</w:t>
      </w:r>
    </w:p>
    <w:p>
      <w:r>
        <w:t>1. Le recours est rejeté. 2. Il n'est pas perçu de frais, ni alloué de dépens. Sion, le 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